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caps/>
          <w:sz w:val="24"/>
          <w:szCs w:val="24"/>
        </w:rPr>
      </w:pPr>
      <w:r>
        <w:rPr>
          <w:rFonts w:eastAsia="Times New Roman" w:ascii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caps/>
          <w:sz w:val="24"/>
          <w:szCs w:val="24"/>
        </w:rPr>
      </w:pPr>
      <w:r>
        <w:rPr>
          <w:rFonts w:eastAsia="Times New Roman" w:ascii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  <w:r>
        <w:rPr>
          <w:rFonts w:eastAsia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caps/>
          <w:sz w:val="24"/>
          <w:szCs w:val="24"/>
        </w:rPr>
      </w:pPr>
      <w:r>
        <w:rPr>
          <w:rFonts w:eastAsia="Times New Roman" w:ascii="Times New Roman" w:hAnsi="Times New Roman"/>
          <w:cap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b/>
          <w:caps/>
          <w:sz w:val="24"/>
          <w:szCs w:val="24"/>
        </w:rPr>
      </w:pPr>
      <w:r>
        <w:rPr>
          <w:rFonts w:eastAsia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tLeast" w:line="240" w:before="0" w:after="0"/>
        <w:rPr/>
      </w:pPr>
      <w:r>
        <w:rPr>
          <w:rFonts w:eastAsia="Calibri" w:ascii="Times New Roman" w:hAnsi="Times New Roman"/>
          <w:sz w:val="28"/>
          <w:szCs w:val="28"/>
        </w:rPr>
        <w:t>«</w:t>
      </w:r>
      <w:r>
        <w:rPr>
          <w:rFonts w:eastAsia="Calibri" w:ascii="Times New Roman" w:hAnsi="Times New Roman"/>
          <w:sz w:val="24"/>
          <w:szCs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>
      <w:pPr>
        <w:pStyle w:val="Normal"/>
        <w:spacing w:lineRule="atLeast" w:line="240" w:before="0" w:after="0"/>
        <w:rPr>
          <w:rFonts w:ascii="Times New Roman" w:hAnsi="Times New Roman" w:eastAsia="SimSun"/>
          <w:sz w:val="24"/>
          <w:szCs w:val="24"/>
        </w:rPr>
      </w:pPr>
      <w:r>
        <w:rPr>
          <w:rFonts w:eastAsia="SimSun" w:ascii="Times New Roman" w:hAnsi="Times New Roman"/>
          <w:sz w:val="24"/>
          <w:szCs w:val="24"/>
        </w:rPr>
        <w:t xml:space="preserve">на заседании                                                                                               Директор                                                                                                         </w:t>
      </w:r>
    </w:p>
    <w:p>
      <w:pPr>
        <w:pStyle w:val="Normal"/>
        <w:spacing w:lineRule="atLeast" w:line="240" w:before="0" w:after="0"/>
        <w:rPr>
          <w:rFonts w:ascii="Times New Roman" w:hAnsi="Times New Roman" w:eastAsia="SimSun"/>
          <w:sz w:val="24"/>
          <w:szCs w:val="24"/>
        </w:rPr>
      </w:pPr>
      <w:r>
        <w:rPr>
          <w:rFonts w:eastAsia="SimSun" w:ascii="Times New Roman" w:hAnsi="Times New Roman"/>
          <w:sz w:val="24"/>
          <w:szCs w:val="24"/>
        </w:rPr>
        <w:t xml:space="preserve">методкомиссии                                                                                           ГАПОУ «ААПК"                                                                </w:t>
      </w:r>
    </w:p>
    <w:p>
      <w:pPr>
        <w:pStyle w:val="Normal"/>
        <w:spacing w:lineRule="atLeast" w:line="240" w:before="0" w:after="0"/>
        <w:rPr>
          <w:rFonts w:ascii="Times New Roman" w:hAnsi="Times New Roman" w:eastAsia="SimSun"/>
          <w:sz w:val="24"/>
          <w:szCs w:val="24"/>
        </w:rPr>
      </w:pPr>
      <w:r>
        <w:rPr>
          <w:rFonts w:eastAsia="SimSun" w:ascii="Times New Roman" w:hAnsi="Times New Roman"/>
          <w:sz w:val="24"/>
          <w:szCs w:val="24"/>
        </w:rPr>
        <w:t>председатель                                                                             ________ З. М. Давлетбаев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/>
      </w:pPr>
      <w:r>
        <w:rPr>
          <w:rFonts w:eastAsia="SimSun" w:ascii="Times New Roman" w:hAnsi="Times New Roman"/>
          <w:b/>
          <w:sz w:val="24"/>
          <w:szCs w:val="24"/>
        </w:rPr>
        <w:t>___________</w:t>
      </w:r>
      <w:r>
        <w:rPr>
          <w:rFonts w:eastAsia="SimSun" w:ascii="Times New Roman" w:hAnsi="Times New Roman"/>
          <w:b w:val="false"/>
          <w:bCs w:val="false"/>
          <w:sz w:val="24"/>
          <w:szCs w:val="24"/>
        </w:rPr>
        <w:t xml:space="preserve">Н. Г. Шайдуллин    </w:t>
      </w:r>
      <w:r>
        <w:rPr>
          <w:rFonts w:eastAsia="SimSun"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eastAsia="SimSun" w:ascii="Times New Roman" w:hAnsi="Times New Roman"/>
          <w:sz w:val="24"/>
          <w:szCs w:val="24"/>
        </w:rPr>
        <w:t xml:space="preserve">«31» августа 2024 г                                «31» августа 2024 г                                                                        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  <w:r>
        <w:rPr>
          <w:rFonts w:eastAsia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caps/>
          <w:sz w:val="28"/>
          <w:szCs w:val="28"/>
        </w:rPr>
      </w:pPr>
      <w:r>
        <w:rPr>
          <w:rFonts w:eastAsia="Times New Roman" w:ascii="Times New Roman" w:hAnsi="Times New Roman"/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caps/>
          <w:sz w:val="28"/>
          <w:szCs w:val="28"/>
        </w:rPr>
      </w:pPr>
      <w:r>
        <w:rPr>
          <w:rFonts w:eastAsia="Times New Roman" w:ascii="Times New Roman" w:hAnsi="Times New Roman"/>
          <w:caps/>
          <w:sz w:val="28"/>
          <w:szCs w:val="28"/>
        </w:rPr>
      </w:r>
    </w:p>
    <w:p>
      <w:pPr>
        <w:pStyle w:val="Normal"/>
        <w:spacing w:lineRule="auto" w:line="360" w:before="0" w:after="0"/>
        <w:jc w:val="right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УЧЕБНОЙ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«ОП.02 ЭКОЛОГИЧЕСКИЕ ОСНОВЫ ПРИРОДОПОЛЬЗОВАНИЯ»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caps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по специальности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i/>
          <w:i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2024</w:t>
      </w:r>
      <w:r>
        <w:br w:type="page"/>
      </w:r>
    </w:p>
    <w:tbl>
      <w:tblPr>
        <w:tblW w:w="10206" w:type="dxa"/>
        <w:jc w:val="left"/>
        <w:tblInd w:w="-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386"/>
      </w:tblGrid>
      <w:tr>
        <w:trPr/>
        <w:tc>
          <w:tcPr>
            <w:tcW w:w="4820" w:type="dxa"/>
            <w:tcBorders/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с требованиями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Федерального государственного образовательного стандарта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сельскохозяйственной техники 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spacing w:lineRule="auto" w:line="360" w:before="0" w:after="0"/>
        <w:ind w:left="0" w:right="0"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  </w:t>
      </w:r>
    </w:p>
    <w:p>
      <w:pPr>
        <w:pStyle w:val="Default"/>
        <w:ind w:left="0" w:righ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ind w:left="0" w:right="0" w:firstLine="7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Default"/>
        <w:ind w:left="0" w:right="0" w:firstLine="7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Default"/>
        <w:ind w:left="0" w:right="0" w:firstLine="700"/>
        <w:jc w:val="both"/>
        <w:rPr/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>
      <w:pPr>
        <w:pStyle w:val="Default"/>
        <w:ind w:left="0" w:righ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31.08.2024 г.</w:t>
      </w:r>
    </w:p>
    <w:p>
      <w:pPr>
        <w:pStyle w:val="Normal"/>
        <w:snapToGrid w:val="false"/>
        <w:spacing w:lineRule="auto" w:line="240" w:before="0" w:after="0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 w:before="240" w:after="60"/>
        <w:ind w:left="0" w:right="0" w:hanging="0"/>
        <w:jc w:val="center"/>
        <w:outlineLvl w:val="0"/>
        <w:rPr>
          <w:rFonts w:ascii="Times New Roman" w:hAnsi="Times New Roman" w:eastAsia="Times New Roman" w:cs="Arial"/>
          <w:b/>
          <w:bCs/>
          <w:kern w:val="2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 w:before="240" w:after="60"/>
        <w:ind w:left="0" w:right="0" w:hanging="0"/>
        <w:outlineLvl w:val="0"/>
        <w:rPr>
          <w:rFonts w:ascii="Times New Roman" w:hAnsi="Times New Roman" w:eastAsia="Times New Roman" w:cs="Arial"/>
          <w:b/>
          <w:bCs/>
          <w:kern w:val="2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>
      <w:pPr>
        <w:pStyle w:val="Normal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tbl>
      <w:tblPr>
        <w:tblW w:w="9355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9"/>
        <w:gridCol w:w="1856"/>
      </w:tblGrid>
      <w:tr>
        <w:trPr/>
        <w:tc>
          <w:tcPr>
            <w:tcW w:w="74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ind w:left="284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7499" w:type="dxa"/>
            <w:tcBorders/>
          </w:tcPr>
          <w:p>
            <w:pPr>
              <w:pStyle w:val="Normal"/>
              <w:widowControl w:val="false"/>
              <w:suppressAutoHyphens w:val="true"/>
              <w:ind w:left="284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ind w:left="284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6" w:type="dxa"/>
            <w:tcBorders/>
          </w:tcPr>
          <w:p>
            <w:pPr>
              <w:pStyle w:val="Normal"/>
              <w:widowControl w:val="false"/>
              <w:spacing w:before="0" w:after="200"/>
              <w:ind w:left="644" w:right="0" w:hang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7499" w:type="dxa"/>
            <w:tcBorders/>
          </w:tcPr>
          <w:p>
            <w:pPr>
              <w:pStyle w:val="Normal"/>
              <w:widowControl w:val="false"/>
              <w:suppressAutoHyphens w:val="true"/>
              <w:ind w:left="284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5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>
        <w:rPr>
          <w:rFonts w:ascii="Times New Roman" w:hAnsi="Times New Roman"/>
          <w:b/>
          <w:sz w:val="24"/>
          <w:szCs w:val="24"/>
        </w:rPr>
        <w:t>1. ОБЩАЯ ХАРАКТЕРИСТИКА ПРОГРАММЫ УЧЕБНОЙ ДИСЦИПЛИНЫ «ОП.02 ЭКОЛОГИЧЕСКИЕ ОСНОВЫ ПРИРОДОПОЛЬЗОВАНИЯ»</w:t>
      </w:r>
    </w:p>
    <w:p>
      <w:pPr>
        <w:pStyle w:val="Normal"/>
        <w:spacing w:before="0" w:after="0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>
      <w:pPr>
        <w:pStyle w:val="Normal"/>
        <w:suppressAutoHyphens w:val="tru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>
      <w:pPr>
        <w:pStyle w:val="Normal"/>
        <w:suppressAutoHyphens w:val="true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>
      <w:pPr>
        <w:pStyle w:val="Normal"/>
        <w:suppressAutoHyphens w:val="true"/>
        <w:spacing w:before="0" w:after="0"/>
        <w:jc w:val="both"/>
        <w:rPr/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>
      <w:pPr>
        <w:pStyle w:val="Normal"/>
        <w:suppressAutoHyphens w:val="true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</w:r>
    </w:p>
    <w:tbl>
      <w:tblPr>
        <w:tblW w:w="924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967"/>
        <w:gridCol w:w="3613"/>
      </w:tblGrid>
      <w:tr>
        <w:trPr>
          <w:trHeight w:val="649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>
        <w:trPr>
          <w:trHeight w:val="212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Анализировать и прогнозировать экологические последствия различных видов деятельности;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Осуществлять в общем виде оценку антропогенного воздействия на окружающую среду с учетом специфики природно-климатических условий;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устойчивого состояния экосистем;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и методы рационального природопользования;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снижения хозяйственного воздействия на биосферу;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экологического регулирования;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uppressAutoHyphens w:val="tru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>
      <w:pPr>
        <w:pStyle w:val="Normal"/>
        <w:suppressAutoHyphens w:val="tru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8"/>
        <w:gridCol w:w="1907"/>
      </w:tblGrid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>
        <w:trPr>
          <w:trHeight w:val="490" w:hRule="atLeast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701" w:right="850" w:gutter="0" w:header="0" w:top="1134" w:footer="0" w:bottom="284"/>
          <w:pgNumType w:fmt="decimal"/>
          <w:formProt w:val="false"/>
          <w:textDirection w:val="lrTb"/>
          <w:docGrid w:type="default" w:linePitch="299" w:charSpace="4096"/>
        </w:sectPr>
      </w:pPr>
    </w:p>
    <w:p>
      <w:pPr>
        <w:pStyle w:val="Normal"/>
        <w:spacing w:lineRule="auto" w:line="240" w:before="0" w:after="0"/>
        <w:ind w:left="720" w:right="0" w:hanging="0"/>
        <w:jc w:val="center"/>
        <w:rPr/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2.2.  Тематический план и содержание учебной дисциплины </w:t>
      </w:r>
      <w:r>
        <w:rPr>
          <w:rFonts w:ascii="Times New Roman" w:hAnsi="Times New Roman"/>
          <w:b/>
          <w:spacing w:val="-2"/>
          <w:sz w:val="24"/>
          <w:szCs w:val="24"/>
          <w:u w:val="single"/>
        </w:rPr>
        <w:t>Экологические основы природопользования</w:t>
      </w:r>
    </w:p>
    <w:tbl>
      <w:tblPr>
        <w:tblW w:w="15448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66"/>
        <w:gridCol w:w="9214"/>
        <w:gridCol w:w="925"/>
        <w:gridCol w:w="2191"/>
      </w:tblGrid>
      <w:tr>
        <w:trPr/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практические работы, самостоятельная работа  обучающихся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>
        <w:trPr>
          <w:trHeight w:val="80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История охраны природы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0"/>
                <w:szCs w:val="20"/>
              </w:rPr>
            </w:pPr>
            <w:r>
              <w:rPr>
                <w:rFonts w:ascii="Arimo" w:hAnsi="Arimo"/>
                <w:sz w:val="20"/>
                <w:szCs w:val="20"/>
              </w:rPr>
              <w:t>ОК 7</w:t>
            </w:r>
          </w:p>
        </w:tc>
      </w:tr>
      <w:tr>
        <w:trPr>
          <w:trHeight w:val="369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0"/>
                <w:szCs w:val="20"/>
              </w:rPr>
            </w:pPr>
            <w:r>
              <w:rPr>
                <w:rFonts w:ascii="Arimo" w:hAnsi="Arimo"/>
                <w:sz w:val="20"/>
                <w:szCs w:val="20"/>
              </w:rPr>
              <w:t>ОК 7</w:t>
            </w:r>
          </w:p>
        </w:tc>
      </w:tr>
      <w:tr>
        <w:trPr>
          <w:trHeight w:val="477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0"/>
                <w:szCs w:val="20"/>
              </w:rPr>
            </w:pPr>
            <w:r>
              <w:rPr>
                <w:rFonts w:ascii="Arimo" w:hAnsi="Arimo"/>
                <w:b w:val="false"/>
                <w:bCs w:val="false"/>
                <w:sz w:val="20"/>
                <w:szCs w:val="20"/>
              </w:rPr>
              <w:t>ОК 7</w:t>
            </w:r>
          </w:p>
        </w:tc>
      </w:tr>
      <w:tr>
        <w:trPr>
          <w:trHeight w:val="379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газовый состав атмосферы. Баланс газов в атмосфере. Воздействие деятельности человека на газовый состав атмосферы.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111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атмосферы. Последствия загрязнения атмосферы. 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9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«Механизм образования кислотных дождей.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>
          <w:trHeight w:val="463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 Определение химического состава атмосферы»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>
          <w:trHeight w:val="73" w:hRule="atLeast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водных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0"/>
                <w:szCs w:val="20"/>
              </w:rPr>
            </w:pPr>
            <w:r>
              <w:rPr>
                <w:rFonts w:ascii="Arimo" w:hAnsi="Arimo"/>
                <w:sz w:val="20"/>
                <w:szCs w:val="20"/>
              </w:rPr>
              <w:t>ОК 7</w:t>
            </w:r>
          </w:p>
        </w:tc>
      </w:tr>
      <w:tr>
        <w:trPr>
          <w:trHeight w:val="341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Природная вода и ее распространение. Круговорот воды в природе. Роль воды в природе и хозяйственной деятельности. Истощение и загрязнение водных 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41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загрязняющие вещества и поставщики загрязнений. Определение степени загрязнения воды. Рациональное использование водных ресурсов, меры по предотвращению их истощения и загрязнения.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>
          <w:trHeight w:val="341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>«Определение качества воды»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4"/>
                <w:szCs w:val="24"/>
              </w:rPr>
            </w:pPr>
            <w:r>
              <w:rPr>
                <w:rFonts w:ascii="Arimo" w:hAnsi="Arimo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0"/>
                <w:szCs w:val="20"/>
              </w:rPr>
            </w:pPr>
            <w:r>
              <w:rPr>
                <w:rFonts w:ascii="Arimo" w:hAnsi="Arimo"/>
                <w:b w:val="false"/>
                <w:bCs w:val="false"/>
                <w:sz w:val="20"/>
                <w:szCs w:val="20"/>
              </w:rPr>
              <w:t>ОК 7</w:t>
            </w:r>
          </w:p>
        </w:tc>
      </w:tr>
      <w:tr>
        <w:trPr>
          <w:trHeight w:val="420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3"/>
              <w:keepNext w:val="false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  <w:t>Полезные ископаемые и их распространение. Использование недр человеком. Исчерпаемость минеральных 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Рациональное использование и охрана недр. Охрана природных комплексов при разработке минеральных 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работа: «</w:t>
            </w:r>
            <w:r>
              <w:rPr>
                <w:rFonts w:ascii="Times New Roman" w:hAnsi="Times New Roman"/>
                <w:sz w:val="24"/>
                <w:szCs w:val="24"/>
              </w:rPr>
              <w:t>Реклама и  экология»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4"/>
                <w:szCs w:val="24"/>
              </w:rPr>
            </w:pPr>
            <w:r>
              <w:rPr>
                <w:rFonts w:ascii="Arimo" w:hAnsi="Arimo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0"/>
                <w:szCs w:val="20"/>
              </w:rPr>
            </w:pPr>
            <w:r>
              <w:rPr>
                <w:rFonts w:ascii="Arimo" w:hAnsi="Arimo"/>
                <w:b w:val="false"/>
                <w:bCs w:val="false"/>
                <w:sz w:val="20"/>
                <w:szCs w:val="20"/>
              </w:rPr>
              <w:t>ОК 7</w:t>
            </w:r>
          </w:p>
        </w:tc>
      </w:tr>
      <w:tr>
        <w:trPr>
          <w:trHeight w:val="691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3"/>
              <w:keepNext w:val="false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jc w:val="both"/>
              <w:outlineLvl w:val="3"/>
              <w:rPr/>
            </w:pPr>
            <w:r>
              <w:rPr>
                <w:b/>
                <w:bCs/>
              </w:rPr>
              <w:t xml:space="preserve">Практическая работа: </w:t>
            </w:r>
            <w:r>
              <w:rPr>
                <w:bCs/>
              </w:rPr>
              <w:t>Эрозия почв. Загрязнение почв.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0"/>
                <w:szCs w:val="20"/>
              </w:rPr>
            </w:pPr>
            <w:r>
              <w:rPr>
                <w:rFonts w:ascii="Arimo" w:hAnsi="Arimo"/>
                <w:sz w:val="20"/>
                <w:szCs w:val="20"/>
              </w:rPr>
              <w:t>ОК 7</w:t>
            </w:r>
          </w:p>
        </w:tc>
      </w:tr>
      <w:tr>
        <w:trPr/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 Лесные ресурсы России. Охрана растительности лугов и пастбищ.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16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«Редкие растения  нашего региона.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8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2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2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b w:val="false"/>
                <w:bCs w:val="false"/>
                <w:sz w:val="20"/>
                <w:szCs w:val="20"/>
              </w:rPr>
            </w:pPr>
            <w:r>
              <w:rPr>
                <w:rFonts w:ascii="Arimo" w:hAnsi="Arimo"/>
                <w:b w:val="false"/>
                <w:bCs w:val="false"/>
                <w:sz w:val="20"/>
                <w:szCs w:val="20"/>
              </w:rPr>
              <w:t>ОК 7</w:t>
            </w:r>
          </w:p>
        </w:tc>
      </w:tr>
      <w:tr>
        <w:trPr/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 Причины вымирания животных.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99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«Редкие  животные нашего региона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Arimo" w:hAnsi="Arimo"/>
              </w:rPr>
            </w:pPr>
            <w:r>
              <w:rPr>
                <w:rFonts w:ascii="Arimo" w:hAnsi="Arimo"/>
              </w:rPr>
            </w:r>
          </w:p>
        </w:tc>
      </w:tr>
      <w:tr>
        <w:trPr>
          <w:trHeight w:val="1441" w:hRule="atLeast"/>
        </w:trPr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с/х производства на окружающую среду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219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 </w:t>
            </w:r>
            <w:r>
              <w:rPr>
                <w:rFonts w:ascii="Times New Roman" w:hAnsi="Times New Roman"/>
                <w:sz w:val="24"/>
                <w:szCs w:val="24"/>
              </w:rPr>
              <w:t>«Международное сотрудничество в решении проблем природопользования»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«Решение экологических ситуаций»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1-32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Зачет дифференцированный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</w:r>
          </w:p>
        </w:tc>
      </w:tr>
    </w:tbl>
    <w:p>
      <w:pPr>
        <w:sectPr>
          <w:type w:val="nextPage"/>
          <w:pgSz w:orient="landscape" w:w="16838" w:h="11906"/>
          <w:pgMar w:left="992" w:right="1134" w:gutter="0" w:header="0" w:top="851" w:footer="0" w:bottom="851"/>
          <w:pgNumType w:fmt="decimal"/>
          <w:formProt w:val="false"/>
          <w:textDirection w:val="lrTb"/>
          <w:docGrid w:type="default" w:linePitch="100" w:charSpace="4096"/>
        </w:sect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left="851" w:righ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>
      <w:pPr>
        <w:pStyle w:val="Normal"/>
        <w:suppressAutoHyphens w:val="true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/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«Экология»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>
      <w:pPr>
        <w:pStyle w:val="Normal"/>
        <w:suppressAutoHyphens w:val="true"/>
        <w:spacing w:before="0" w:after="0"/>
        <w:jc w:val="both"/>
        <w:rPr/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>
        <w:rPr>
          <w:rFonts w:ascii="Times New Roman" w:hAnsi="Times New Roman"/>
          <w:sz w:val="24"/>
          <w:szCs w:val="24"/>
          <w:lang w:eastAsia="en-US"/>
        </w:rPr>
        <w:t>компьютер.</w:t>
      </w:r>
    </w:p>
    <w:p>
      <w:pPr>
        <w:pStyle w:val="Normal"/>
        <w:suppressAutoHyphens w:val="true"/>
        <w:spacing w:before="0"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  <w:tab/>
        <w:t>Рабочее место преподавателя;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  <w:tab/>
        <w:t>Рабочие места обучающихся;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  <w:tab/>
        <w:t>Комплексная химическая лаборатория;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4.  Приборы: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а) посуда мерная и общего назначения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б) приборы общего назначения для проведения лабораторных работ по химии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в) лабораторная мебель для организации лаборатории по проведению лабораторных работ по  химии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г) реактивы для проведения лабораторных работ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5. ПК;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6. Компьютерные столы, стулья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3.2.</w:t>
        <w:tab/>
        <w:t>Информационное обеспечение обучения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Основные источники: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  <w:tab/>
        <w:t>Константинов В. М., Челидзе Ю. Б. Экологические основы природопользования. М., 2014, «Академия», 2021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  <w:tab/>
        <w:t>Реймерс Н.Ф. Природопользование: Словарь-справочник. – М.: Мысль, 2020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  <w:tab/>
        <w:t>Уайт Г. География, ресурсы и окружающая среда. – М.: Прогресс, 2019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  <w:tab/>
        <w:t>Экологическая альтернатива / под ред. М.Я.Лемешева. – М.: Прогресс, 2014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  <w:tab/>
        <w:t>Яшин А.Л., Мелуа А.И. Уроки экологических просчетов. – М.: Мысль, 2014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  <w:tab/>
        <w:t>Лосев К.С., Горшков В.Г. и др. Проблемы экологии России. – М., 2015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  <w:tab/>
        <w:t>Егоров А.С. Химия. Пособие-репетитор для поступающих в вузы. – Ростов н/Д, Феникс, 2007</w:t>
      </w:r>
    </w:p>
    <w:p>
      <w:pPr>
        <w:pStyle w:val="Normal"/>
        <w:suppressAutoHyphens w:val="true"/>
        <w:spacing w:before="0" w:after="0"/>
        <w:ind w:left="0" w:righ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0" w:leader="none"/>
        </w:tabs>
        <w:spacing w:before="0" w:after="0"/>
        <w:jc w:val="center"/>
        <w:rPr>
          <w:rFonts w:ascii="Times New Roman" w:hAnsi="Times New Roman" w:eastAsia="SimSun"/>
          <w:b/>
          <w:sz w:val="24"/>
          <w:szCs w:val="24"/>
        </w:rPr>
      </w:pPr>
      <w:r>
        <w:rPr>
          <w:rFonts w:eastAsia="SimSun"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>
      <w:pPr>
        <w:pStyle w:val="Normal"/>
        <w:spacing w:before="0" w:after="0"/>
        <w:jc w:val="both"/>
        <w:rPr>
          <w:rFonts w:ascii="Times New Roman" w:hAnsi="Times New Roman" w:eastAsia="SimSun"/>
          <w:b/>
          <w:sz w:val="24"/>
          <w:szCs w:val="24"/>
        </w:rPr>
      </w:pPr>
      <w:r>
        <w:rPr>
          <w:rFonts w:eastAsia="SimSun" w:ascii="Times New Roman" w:hAnsi="Times New Roman"/>
          <w:b/>
          <w:sz w:val="24"/>
          <w:szCs w:val="24"/>
        </w:rPr>
      </w:r>
    </w:p>
    <w:tbl>
      <w:tblPr>
        <w:tblW w:w="9971" w:type="dxa"/>
        <w:jc w:val="left"/>
        <w:tblInd w:w="-2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3857"/>
        <w:gridCol w:w="3972"/>
      </w:tblGrid>
      <w:tr>
        <w:trPr/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  <w:t>ОК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>
        <w:trPr/>
        <w:tc>
          <w:tcPr>
            <w:tcW w:w="9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>
            <w:pPr>
              <w:pStyle w:val="Normal"/>
              <w:widowControl w:val="false"/>
              <w:shd w:fill="FFFFFF" w:val="clear"/>
              <w:spacing w:lineRule="auto" w:line="240" w:before="0" w:after="0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устойчивого состояния экосистем;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и методы рационального природопользования;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снижения хозяйственного воздействия на биосферу;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экологического регулирования;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9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УМЕНИЯ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Анализировать и прогнозировать экологические последствия различных видов деятельности;</w:t>
            </w:r>
          </w:p>
          <w:p>
            <w:pPr>
              <w:pStyle w:val="Normal"/>
              <w:widowControl w:val="false"/>
              <w:shd w:fill="FFFFFF" w:val="clear"/>
              <w:spacing w:lineRule="auto" w:line="240" w:before="0" w:after="0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eastAsia="SimSun" w:ascii="Times New Roman" w:hAnsi="Times New Roman"/>
                <w:b/>
                <w:sz w:val="24"/>
                <w:szCs w:val="24"/>
                <w:lang w:eastAsia="en-US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Осуществлять в общем виде оценку антропогенного воздействия на окружающую среду с учетом специфики природно-климатических условий;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  <w:tr>
        <w:trPr>
          <w:trHeight w:val="90" w:hRule="atLeast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SimSu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-Грамотно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ОК 07</w:t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Текущий контроль: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Промежуточная аттестация: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eastAsia="SimSun" w:ascii="Times New Roman" w:hAnsi="Times New Roman"/>
                <w:sz w:val="24"/>
                <w:szCs w:val="24"/>
              </w:rPr>
              <w:t>Зачет дифференцированный</w:t>
            </w:r>
          </w:p>
        </w:tc>
      </w:tr>
    </w:tbl>
    <w:p>
      <w:pPr>
        <w:pStyle w:val="Normal"/>
        <w:spacing w:before="0" w:after="2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mo">
    <w:altName w:val="arial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/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libri Light" w:hAnsi="Calibri Light" w:eastAsia="Calibri" w:cs="DejaVu Sans"/>
      <w:color w:val="2E74B5"/>
      <w:sz w:val="32"/>
      <w:szCs w:val="32"/>
    </w:rPr>
  </w:style>
  <w:style w:type="paragraph" w:styleId="3">
    <w:name w:val="Heading 3"/>
    <w:basedOn w:val="Normal"/>
    <w:next w:val="Normal"/>
    <w:link w:val="31"/>
    <w:qFormat/>
    <w:pPr>
      <w:keepNext w:val="true"/>
      <w:numPr>
        <w:ilvl w:val="0"/>
        <w:numId w:val="0"/>
      </w:numPr>
      <w:spacing w:lineRule="auto" w:line="240" w:before="240" w:after="60"/>
      <w:outlineLvl w:val="2"/>
    </w:pPr>
    <w:rPr>
      <w:rFonts w:ascii="Arial" w:hAnsi="Arial" w:eastAsia="Times New Roman" w:cs="Arial"/>
      <w:b/>
      <w:bCs/>
      <w:sz w:val="26"/>
      <w:szCs w:val="26"/>
    </w:rPr>
  </w:style>
  <w:style w:type="character" w:styleId="DefaultParagraphFont">
    <w:name w:val="Default Paragraph Font"/>
    <w:qFormat/>
    <w:rPr/>
  </w:style>
  <w:style w:type="character" w:styleId="31">
    <w:name w:val="Заголовок 3 Знак"/>
    <w:basedOn w:val="DefaultParagraphFont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Calibri" w:cs="DejaVu Sans"/>
      <w:color w:val="2E74B5"/>
      <w:sz w:val="32"/>
      <w:szCs w:val="32"/>
      <w:lang w:eastAsia="ru-RU"/>
    </w:rPr>
  </w:style>
  <w:style w:type="character" w:styleId="2">
    <w:name w:val="Основной текст (2)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/>
    </w:rPr>
  </w:style>
  <w:style w:type="paragraph" w:styleId="Default">
    <w:name w:val="Default"/>
    <w:qFormat/>
    <w:pPr>
      <w:widowControl/>
      <w:suppressAutoHyphens w:val="true"/>
      <w:kinsoku w:val="true"/>
      <w:overflowPunct w:val="fals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ru-RU" w:eastAsia="en-US" w:bidi="ar-SA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Application>LibreOffice/7.5.6.2$Linux_X86_64 LibreOffice_project/50$Build-2</Application>
  <AppVersion>15.0000</AppVersion>
  <Pages>11</Pages>
  <Words>1385</Words>
  <Characters>10849</Characters>
  <CharactersWithSpaces>12863</CharactersWithSpaces>
  <Paragraphs>282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2018-04-02T11:15:00Z</dcterms:created>
  <dc:creator>Ахмадуллин</dc:creator>
  <dc:description/>
  <dc:language>en-US</dc:language>
  <cp:lastModifiedBy/>
  <dcterms:modified xsi:type="dcterms:W3CDTF">2024-12-02T07:07:25Z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